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#13 (a2_b1)</w:t>
      </w:r>
    </w:p>
    <w:p>
      <w:r>
        <w:t xml:space="preserve">Prompt: </w:t>
      </w:r>
    </w:p>
    <w:p>
      <w:r>
        <w:t>--------------------</w:t>
      </w:r>
    </w:p>
    <w:p>
      <w:r>
        <w:t>Big changes in how people make things and use machines changed life for many people. In my opinion, I strongly agree with the view that big changes in factories and machines in the past were the main reason for problems in rich countries. This essay will provide two reasons supporting my idea.</w:t>
        <w:br/>
        <w:br/>
        <w:t>These changes in making goods caused many problems for people. In other words, people moved to big cities to work in big factories. For example, many people lived in small houses near the factories. As a result, the cities became very crowded and dirty. This shows that the growth of factories caused poor living conditions.</w:t>
        <w:br/>
        <w:br/>
        <w:t>Another reason is that these changes hurt the environment. This is because the new machines used a lot of fuel and made smoke. For example, factories put smoke into the air every day. As a result, the air became hard to breathe and rivers got dirty. This supports the view that the new machines damaged the natural world.</w:t>
        <w:br/>
        <w:br/>
        <w:t>In conclusion, I strongly agree that big changes in factories and machines were the main reason for problems in rich countries. The growth of factories caused poor living conditions, and the new machines damaged the natural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