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 (a2_b1)</w:t>
      </w:r>
    </w:p>
    <w:p>
      <w:r>
        <w:t xml:space="preserve">Prompt: </w:t>
      </w:r>
    </w:p>
    <w:p>
      <w:r>
        <w:t>--------------------</w:t>
      </w:r>
    </w:p>
    <w:p>
      <w:r>
        <w:t>The big changes in making things and using machines in the past are often blamed for problems in rich countries. In my opinion, I strongly disagree with the view that big changes in factories and machines in the past were the main reason for problems in rich countries. This essay will provide two reasons supporting my idea.</w:t>
        <w:br/>
        <w:br/>
        <w:t>The problems in rich countries came from other causes. In other words, poor planning and bad government rules caused many issues. For example, some cities grew too fast without good roads or clean water. As a result, people lived in crowded areas with little space for fresh air. This shows that poor city planning is a bigger problem than machine use.</w:t>
        <w:br/>
        <w:br/>
        <w:t>The problems in rich countries are related to how people use resources. This is because people started using natural things too much for their needs. For example, many factories used up wood and coal very quickly. As a result, the air became dirty, and rivers were full of waste. This supports the view that resource use is the main problem.</w:t>
        <w:br/>
        <w:br/>
        <w:t>In conclusion, I strongly disagree with the view that big changes in factories and machines in the past were the main reason for problems in rich countries. The problems are more linked to poor city planning and also to how people use natural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