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 (c1)</w:t>
      </w:r>
    </w:p>
    <w:p>
      <w:r>
        <w:t xml:space="preserve">Prompt: </w:t>
      </w:r>
    </w:p>
    <w:p>
      <w:r>
        <w:t>--------------------</w:t>
      </w:r>
    </w:p>
    <w:p>
      <w:r>
        <w:t>The Industrial Revolution represents a period of profound technological and economic change across the globe. In my opinion, I strongly disagree with the view that the industrial revolution was the main factor behind problems in developed nations. This essay will provide two reasons supporting my idea.</w:t>
        <w:br/>
        <w:br/>
        <w:t>The problems faced by developed nations stem from complex issues beyond the scope of industrialization. In other words, modern challenges involve global political dynamics and shifting demographics. For instance, the current crisis in international trade relations demonstrates this complexity. As a result, simply attributing these issues to early industrial processes overlooks crucial contemporary factors. Hence, it becomes evident that other forces contribute significantly to the difficulties nations encounter.</w:t>
        <w:br/>
        <w:br/>
        <w:t>Furthermore, contemporary issues are often rooted in governance and resource management failures. This is primarily due to the fact that political instability and poor policy implementation exacerbate existing problems. This can be exemplified by the fact that inadequate waste management systems lead to severe pollution levels in major cities. The outcome is that environmental degradation becomes a major impediment to sustainable development. This clearly aligns with the view that governance failures are more critical than industrialization itself.</w:t>
        <w:br/>
        <w:br/>
        <w:t>In conclusion, I strongly disagree with the view that the industrial revolution was the main factor behind problems in developed nations. This is because modern challenges are significantly influenced by global political dynamics and shifting demographics, alongside failures in governance and resource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