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#142 (c1)</w:t>
      </w:r>
    </w:p>
    <w:p>
      <w:r>
        <w:t xml:space="preserve">Prompt: </w:t>
      </w:r>
    </w:p>
    <w:p>
      <w:r>
        <w:t>--------------------</w:t>
      </w:r>
    </w:p>
    <w:p>
      <w:r>
        <w:t>The increasing reliance on media platforms may cause individuals to lose touch with genuine, real-life experiences. In my opinion, I strongly agree with agreeing with the statement. This essay will provide two reasons supporting my idea.</w:t>
        <w:br/>
        <w:br/>
        <w:t>Media consumption can diminish a person's capacity for physical interaction. In other words, excessive screen time replaces meaningful engagement with digital stimuli in everyday life. For instance, young people often prefer virtual gaming to outdoor activities with friends. As a result, their attention spans become shorter, and they struggle with sustained focus in real settings. Hence, it becomes evident that this dependence weakens crucial real-world social skills.</w:t>
        <w:br/>
        <w:br/>
        <w:t>Furthermore, digital connectivity can erode the quality of genuine relationships. This is primarily due to the fact that superficial online interactions are mistaken for deep emotional bonds in everyday life. This can be exemplified by the fact that people communicate through emojis rather than nuanced facial expressions. The outcome is that individuals become adept at mediated communication, yet lack the skills for complex, face-to-face dialogue. This clearly aligns with the view that digital platforms hinder the development of authentic human connection.</w:t>
        <w:br/>
        <w:br/>
        <w:t>In conclusion, I strongly agree with agreeing with the statement. This is because excessive screen time diminishes physical interaction, and superficial online exchanges impede the development of authentic human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