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(c1)</w:t>
      </w:r>
    </w:p>
    <w:p>
      <w:r>
        <w:t xml:space="preserve">Prompt: </w:t>
      </w:r>
    </w:p>
    <w:p>
      <w:r>
        <w:t>--------------------</w:t>
      </w:r>
    </w:p>
    <w:p>
      <w:r>
        <w:t>The increasing prevalence of digital media raises concerns regarding humanity's connection to genuine, real-world experiences. In my opinion, I strongly disagree with disagree. This essay will provide two reasons supporting my idea.</w:t>
        <w:br/>
        <w:br/>
        <w:t>Media consumption does not inherently diminish a person's ability to engage with reality. In other words, digital tools merely supplement, rather than replace, physical interactions in everyday life in everyday life. For instance, platforms allow individuals to organize and participate in local community events, such as neighborhood cleanups. As a result, people maintain strong ties to their geographical surroundings and local activities. Hence, it becomes evident that technology can enhance, rather than erode, our connection to daily life.</w:t>
        <w:br/>
        <w:br/>
        <w:t>Furthermore, media provides novel avenues for maintaining strong interpersonal bonds. This is primarily due to the fact that communication methods are no longer limited by physical proximity in everyday life. This can be exemplified by the fact that family members living in different continents can share daily moments through video calls. The outcome is that geographical distance becomes a minor obstacle to emotional connection. This clearly aligns with the view that technology supports the maintenance of genuine relationships.</w:t>
        <w:br/>
        <w:br/>
        <w:t>In conclusion, I strongly disagree with disagree. This is clear from media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