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#143 (c1)</w:t>
      </w:r>
    </w:p>
    <w:p>
      <w:r>
        <w:t xml:space="preserve">Prompt: </w:t>
      </w:r>
    </w:p>
    <w:p>
      <w:r>
        <w:t>--------------------</w:t>
      </w:r>
    </w:p>
    <w:p>
      <w:r>
        <w:t>Every commercial enterprise, regardless of its scale, fundamentally aims to achieve maximum profitability. In my opinion, I strongly agree with agreeing with the statement. This essay will provide two reasons supporting my idea.</w:t>
        <w:br/>
        <w:br/>
        <w:t>The primary objective of any commercial venture is to ensure its economic sustainability. In other words, maximizing profit is the core mechanism by which businesses allocate resources and maintain operations. For instance, a small bakery must carefully manage its ingredient costs and labor expenses to ensure a positive return on investment. As a result, focusing on profit maximization compels the business to improve operational efficiency and control overheads. Hence, it becomes evident that financial gain drives the necessary strategic decisions for survival.</w:t>
        <w:br/>
        <w:br/>
        <w:t>Furthermore, the pursuit of profit is essential for attracting and retaining stakeholders. This is primarily due to the fact that profitability signals stability and potential for future growth to investors and employees. This can be exemplified by the fact that venture capital firms only allocate funds to companies demonstrating a clear path toward substantial revenue increases. The outcome is that businesses are incentivized to innovate and expand their market penetration to secure higher returns. This clearly aligns with the view that financial success is the ultimate measure of a company's value.</w:t>
        <w:br/>
        <w:br/>
        <w:t>In conclusion, I strongly agree that maximizing profit is the central goal for all businesses. This goal necessitates both careful management of expenses for sustainability and the continuous pursuit of growth to attract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