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#143 (c1)</w:t>
      </w:r>
    </w:p>
    <w:p>
      <w:r>
        <w:t xml:space="preserve">Prompt: </w:t>
      </w:r>
    </w:p>
    <w:p>
      <w:r>
        <w:t>--------------------</w:t>
      </w:r>
    </w:p>
    <w:p>
      <w:r>
        <w:t>The primary objective of any commercial enterprise, regardless of its scale, is often perceived as maximizing financial profit. In my opinion, I strongly disagree with disagreeing with the statement. This essay will provide two reasons supporting my idea.</w:t>
        <w:br/>
        <w:br/>
        <w:t>A more holistic view suggests that long-term success requires prioritizing stakeholder welfare over mere financial gain. In other words, a company must consider the impact on its employees, the community, and the environment. For instance, a local bakery that sources ingredients from nearby farms supports the regional economy. As a result, the business builds a positive reputation and a loyal customer base. Hence, it becomes evident that ethical considerations are fundamental to sustained economic viability.</w:t>
        <w:br/>
        <w:br/>
        <w:t>Furthermore, focusing solely on profit maximization can severely undermine a business's reputation and operational stability. This is primarily due to the fact that ethical lapses or environmental damage quickly erode public trust. This can be exemplified by the fact that major corporations facing public scrutiny often suffer significant stock price drops. The outcome is that consumers shift their spending to more responsible competitors. This clearly aligns with the view that corporate social responsibility is paramount for enduring market penetration.</w:t>
        <w:br/>
        <w:br/>
        <w:t>In conclusion, I strongly disagree with the notion that profit maximization is the sole goal of a business. Instead, enterprises must balance financial gain with ethical considerations and corporate social responsibility to achieve true economic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