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#144 (c1)</w:t>
      </w:r>
    </w:p>
    <w:p>
      <w:r>
        <w:t xml:space="preserve">Prompt: </w:t>
      </w:r>
    </w:p>
    <w:p>
      <w:r>
        <w:t>--------------------</w:t>
      </w:r>
    </w:p>
    <w:p>
      <w:r>
        <w:t>The role of commercial organizations in addressing global environmental challenges is a subject of considerable debate. In my opinion, I strongly agree with agree. This essay will provide two reasons supporting my idea.</w:t>
        <w:br/>
        <w:br/>
        <w:t>Businesses possess significant resources and operational reach that can be directed toward ecological improvement. In other words, their scale allows them to implement large-scale sustainability initiatives in everyday life in everyday life. For instance, a major manufacturing company might overhaul its supply chain to eliminate plastic waste. As a result, the overall pollution levels in coastal areas could significantly decrease. Hence, it becomes evident that corporate action is crucial for mitigating environmental damage.</w:t>
        <w:br/>
        <w:br/>
        <w:t>Furthermore, commercial entities have the financial capacity to invest in cleaner technologies and processes. This is primarily due to the fact that profit motives can be aligned with responsible environmental stewardship in everyday life in everyday life. This can be exemplified by the fact that tech firms adopting renewable energy sources reduce their carbon emissions. The outcome is that the demand for sustainable products increases, benefiting the entire economy. This clearly aligns with the view that corporate investment drives necessary ecological change.</w:t>
        <w:br/>
        <w:br/>
        <w:t>In conclusion, I strongly agree with agree. This is clear from businesses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