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#144 (c1)</w:t>
      </w:r>
    </w:p>
    <w:p>
      <w:r>
        <w:t xml:space="preserve">Prompt: </w:t>
      </w:r>
    </w:p>
    <w:p>
      <w:r>
        <w:t>--------------------</w:t>
      </w:r>
    </w:p>
    <w:p>
      <w:r>
        <w:t>The role of commercial organizations in addressing global environmental challenges is a subject of considerable debate. In my opinion, I strongly disagree with disagree. This essay will provide two reasons supporting my idea.</w:t>
        <w:br/>
        <w:br/>
        <w:t>The primary responsibility for environmental protection belongs to governmental bodies and international treaties. In other words, private enterprises often prioritize profit maximization over ecological sustainability. For instance, a factory might continue polluting a river because the cost of implementing advanced filtration systems is prohibitive. As a result, local ecosystems suffer severe degradation, impacting aquatic life and human health. Hence, it becomes evident that relying solely on corporate goodwill is insufficient for effective pollution control.</w:t>
        <w:br/>
        <w:br/>
        <w:t>Furthermore, the focus on corporate initiatives distracts from the necessity of comprehensive regulatory frameworks. This is primarily due to the fact that self-regulation lacks the necessary enforcement mechanisms to curb harmful practices. This can be exemplified by the fact that many companies adopt 'greenwashing' tactics, making minimal changes while exaggerating their environmental commitment. The outcome is that consumer trust erodes, and genuine systemic change remains elusive. This clearly aligns with the view that governmental oversight is paramount for achieving true sustainability.</w:t>
        <w:br/>
        <w:br/>
        <w:t>In conclusion, I strongly disagree with disagree. This is clear from primary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