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#147 (c1)</w:t>
      </w:r>
    </w:p>
    <w:p>
      <w:r>
        <w:t xml:space="preserve">Prompt: </w:t>
      </w:r>
    </w:p>
    <w:p>
      <w:r>
        <w:t>--------------------</w:t>
      </w:r>
    </w:p>
    <w:p>
      <w:r>
        <w:t>The increasing prevalence of mobile devices has prompted considerable debate regarding their overall impact on human life. In my opinion, I strongly disagree with disagree. This essay will provide two reasons supporting my idea.</w:t>
        <w:br/>
        <w:br/>
        <w:t>One clear advantage is the unprecedented level of connectivity that mobile devices provide to users globally. In other words, these gadgets allow individuals to maintain constant contact with family and professional networks regardless of geographical distance. For instance, a student living abroad can participate in virtual study groups, facilitating academic collaboration. As a result, the barriers to communication are significantly lowered, promoting global understanding. Hence, it becomes evident that mobile technology greatly enhances social interaction and access to information.</w:t>
        <w:br/>
        <w:br/>
        <w:t>Another reason is the immense potential for educational advancement that these devices unlock for people everywhere. This is primarily due to the fact that mobile platforms provide access to vast repositories of learning materials and specialized courses. This can be exemplified by the fact that remote learners can access university lectures and specialized training modules from their homes. The outcome is that educational opportunities are democratized, reaching populations previously underserved by traditional institutions. This clearly aligns with the view that mobile devices are powerful tools for lifelong learning and personal development.</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