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#149 (b2)</w:t>
      </w:r>
    </w:p>
    <w:p>
      <w:r>
        <w:t xml:space="preserve">Prompt: </w:t>
      </w:r>
    </w:p>
    <w:p>
      <w:r>
        <w:t>--------------------</w:t>
      </w:r>
    </w:p>
    <w:p>
      <w:r>
        <w:t>There is a debate about whether laws can change how people act, or if they have little real effect. In my opinion, I strongly agree with agree. This essay will provide two reasons supporting my idea.</w:t>
        <w:br/>
        <w:br/>
        <w:t>Laws can definitely change human behavior in a community. In other words, This is because rules give people clear guidelines on what is acceptable in everyday life in everyday life. For instance, traffic laws help people drive safely and follow the rules. As a result, the number of accidents goes down, making roads safer for everyone. Hence, it becomes evident that laws play a big role in improving daily life.</w:t>
        <w:br/>
        <w:br/>
        <w:t>Another reason is that laws help build a sense of shared responsibility. This is primarily due to the fact that when people know rules exist, they feel more accountable in everyday life in everyday life. This can be exemplified by the fact that laws against littering encourage people to keep their town clean. The outcome is that the community looks better and people take care of their surroundings. This clearly aligns with the view that laws are powerful tools for social improvement.</w:t>
        <w:br/>
        <w:br/>
        <w:t>In conclusion, I strongly agree with agree. This is clear from laws and another.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