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(c1)</w:t>
      </w:r>
    </w:p>
    <w:p>
      <w:r>
        <w:t xml:space="preserve">Prompt: </w:t>
      </w:r>
    </w:p>
    <w:p>
      <w:r>
        <w:t>--------------------</w:t>
      </w:r>
    </w:p>
    <w:p>
      <w:r>
        <w:t>There is ongoing debate regarding whether legal mandates possess the power to modify human conduct or if their impact is minimal. In my opinion, I strongly agree with agree. This essay will provide two reasons supporting my idea.</w:t>
        <w:br/>
        <w:br/>
        <w:t>Laws establish a foundational structure for societal order and individual conduct. In other words, these regulations provide clear boundaries for acceptable behavior within a community in everyday life in everyday life in everyday life. For instance, traffic laws mandate specific driving patterns, such as stopping at red lights. As a result, the overall flow of traffic improves, minimizing accidents and congestion. Hence, it becomes evident that legislative frameworks significantly influence daily life.</w:t>
        <w:br/>
        <w:br/>
        <w:t>Furthermore, legal systems promote accountability among citizens. This is primarily due to the fact that the threat of penalties encourages adherence to social norms in everyday life in everyday life in everyday life. This can be exemplified by the fact that anti-corruption laws impose severe punishments on dishonest officials. The outcome is that public trust in institutions increases, fostering a more transparent society. This clearly aligns with the view that laws are powerful agents of social reform.</w:t>
        <w:br/>
        <w:br/>
        <w:t>In conclusion, I strongly agree with agree. This is clear from laws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