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#149 (c1)</w:t>
      </w:r>
    </w:p>
    <w:p>
      <w:r>
        <w:t xml:space="preserve">Prompt: </w:t>
      </w:r>
    </w:p>
    <w:p>
      <w:r>
        <w:t>--------------------</w:t>
      </w:r>
    </w:p>
    <w:p>
      <w:r>
        <w:t>There is ongoing debate regarding whether governmental regulations possess the power to fundamentally alter human conduct. In my opinion, I strongly disagree with disagree. This essay will provide two reasons supporting my idea.</w:t>
        <w:br/>
        <w:br/>
        <w:t>Laws certainly exert some influence on the general public's daily life. In other words, they establish minimum standards of acceptable conduct within a community in everyday life in everyday life. For instance, traffic laws mandate specific driving behaviors, such as stopping at red lights. As a result, the overall flow of traffic improves, minimizing accidents. Hence, it becomes evident that regulations can guide certain aspects of behavior.</w:t>
        <w:br/>
        <w:br/>
        <w:t>Furthermore, human behavior is primarily shaped by deeply ingrained social norms and personal values. This is primarily due to the fact that individuals often prioritize social acceptance over strict legal compliance in everyday life. This can be exemplified by the fact that people frequently adhere to unwritten rules of etiquette, even when no law is broken. The outcome is that community cohesion is maintained, which is a powerful motivator for good conduct. This clearly aligns with the view that internal motivation is more potent than external mandates.</w:t>
        <w:br/>
        <w:br/>
        <w:t>In conclusion, I strongly disagree with disagree. This is clear from laws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