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 (c1)</w:t>
      </w:r>
    </w:p>
    <w:p>
      <w:r>
        <w:t xml:space="preserve">Prompt: </w:t>
      </w:r>
    </w:p>
    <w:p>
      <w:r>
        <w:t>--------------------</w:t>
      </w:r>
    </w:p>
    <w:p>
      <w:r>
        <w:t>The debate surrounding excessive product packaging involves determining whether the onus lies with the consumer or the manufacturer to minimize waste. In my opinion, I strongly agree with the view that consumers should avoid over-packaged products whenever possible. This essay will provide two reasons supporting my idea.</w:t>
        <w:br/>
        <w:br/>
        <w:t>The argument suggests that consumers bear the primary responsibility for selecting minimally packaged goods. In other words, individuals must actively scrutinize product labels and purchase items with reduced material usage. For instance, a consumer might choose a bulk container of nuts instead of several small, individually wrapped packets. As a result, the demand for eco-friendly options increases, compelling manufacturers to adapt their designs. Hence, it becomes evident that consumer choice holds significant power in driving sustainable change.</w:t>
        <w:br/>
        <w:br/>
        <w:t>Conversely, some argue that manufacturers must take the lead in eliminating excessive packaging. This is primarily due to the fact that corporations possess the resources and expertise to redesign product lines efficiently. This can be exemplified by the fact that major brands could adopt standardized, reusable containers across their entire product range. The outcome is that the overall volume of waste generated is drastically reduced, benefiting the entire supply chain. This clearly aligns with the view that corporate responsibility is paramount for environmental protection.</w:t>
        <w:br/>
        <w:br/>
        <w:t>In conclusion, I strongly agree with the view that consumers should avoid over-packaged products whenever possible. This is clear from argument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