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 (c1)</w:t>
      </w:r>
    </w:p>
    <w:p>
      <w:r>
        <w:t xml:space="preserve">Prompt: </w:t>
      </w:r>
    </w:p>
    <w:p>
      <w:r>
        <w:t>--------------------</w:t>
      </w:r>
    </w:p>
    <w:p>
      <w:r>
        <w:t>The debate concerning excessive packaging materials often questions whether consumers or manufacturers bear the primary responsibility for waste reduction. In my opinion, I strongly agree with the view that manufacturers should reduce extra packaging in their products. This essay will provide two reasons supporting my idea.</w:t>
        <w:br/>
        <w:br/>
        <w:t>Manufacturers hold the greater responsibility for minimizing excess packaging. In other words, the initial design phase dictates the overall material footprint of a product. For instance, a small soap bar sold in a large plastic container generates unnecessary waste. As a result, the consumer is forced to purchase a wasteful item, contributing to landfill overflow. Hence, it becomes evident that manufacturers must prioritize sustainable design practices.</w:t>
        <w:br/>
        <w:br/>
        <w:t>Furthermore, manufacturers are better positioned to implement systemic changes regarding packaging. This is primarily due to the fact that they control the entire supply chain and product lifecycle. This can be exemplified by the fact that a company could switch to biodegradable paper alternatives for its goods. The outcome is that the overall environmental impact is significantly lessened, benefiting the planet. This clearly aligns with the view that corporate responsibility must guide packaging decisions.</w:t>
        <w:br/>
        <w:br/>
        <w:t>In conclusion, I strongly agree with the view that manufacturers should reduce extra packaging in their products. This is because manufacturers dictate the initial design phase, and they are uniquely positioned to implement systemic changes throughout the supply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