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#157 (c1)</w:t>
      </w:r>
    </w:p>
    <w:p>
      <w:r>
        <w:t xml:space="preserve">Prompt: </w:t>
      </w:r>
    </w:p>
    <w:p>
      <w:r>
        <w:t>--------------------</w:t>
      </w:r>
    </w:p>
    <w:p>
      <w:r>
        <w:t>It is widely debated whether the physical surroundings in which a person develops significantly impact their ultimate achievements. In my opinion, I strongly agree with agree. This essay will provide two reasons supporting my idea.</w:t>
        <w:br/>
        <w:br/>
        <w:t>The environment provides crucial resources and opportunities that shape an individual's potential. In other words, access to quality education and stable community support are fundamental for personal advancement. For instance, children raised in affluent neighborhoods often attend superior schools, which provides extensive academic exposure. As a result, these individuals gain valuable skills and a strong professional network, greatly enhancing their career prospects. Hence, it becomes evident that the initial setting significantly influences one's trajectory toward success.</w:t>
        <w:br/>
        <w:br/>
        <w:t>Furthermore, the cultural roots and socioeconomic stability of a person's background greatly affect their life outcomes. This is primarily due to the fact that certain environments instill specific values and work ethics necessary for professional life. This can be exemplified by the fact that figures from supportive communities often possess a strong sense of discipline and resilience. The outcome is that they are better equipped to navigate professional challenges and maintain a high level of performance. This clearly aligns with the view that one's upbringing plays a major role in determining one's accomplishments.</w:t>
        <w:br/>
        <w:br/>
        <w:t>In conclusion, I strongly agree with agree. This is clear from environment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