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#157 (c1)</w:t>
      </w:r>
    </w:p>
    <w:p>
      <w:r>
        <w:t xml:space="preserve">Prompt: </w:t>
      </w:r>
    </w:p>
    <w:p>
      <w:r>
        <w:t>--------------------</w:t>
      </w:r>
    </w:p>
    <w:p>
      <w:r>
        <w:t>Many people believe that the environment where they are raised significantly determines their ultimate success and accomplishments. In my opinion, I strongly disagree with disagree. This essay will provide two reasons supporting my idea.</w:t>
        <w:br/>
        <w:br/>
        <w:t>The notion that one's surroundings dictate their life achievements is overly simplistic. In other words, individual effort and inherent talent are the primary drivers of success. For instance, a highly motivated student can excel in an academically challenging setting, even if their initial community resources are limited. As a result, the drive to learn and the commitment to self-improvement outweigh geographical advantages. Hence, it becomes evident that personal determination is far more crucial than one's birthplace.</w:t>
        <w:br/>
        <w:br/>
        <w:t>Furthermore, personal aptitude and internal motivation are more influential than external circumstances. This is primarily due to the fact that human potential is cultivated through internal discipline, not merely external resources. This can be exemplified by the fact that many self-taught artists achieve global recognition despite growing up in economically disadvantaged areas. The outcome is that sheer passion and relentless practice can overcome any initial socioeconomic hurdles. This clearly aligns with the view that individual grit is the most potent predictor of achievement.</w:t>
        <w:br/>
        <w:br/>
        <w:t>In conclusion, I strongly disagree with disagree. This is clear from notion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