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#162 (c1)</w:t>
      </w:r>
    </w:p>
    <w:p>
      <w:r>
        <w:t xml:space="preserve">Prompt: </w:t>
      </w:r>
    </w:p>
    <w:p>
      <w:r>
        <w:t>--------------------</w:t>
      </w:r>
    </w:p>
    <w:p>
      <w:r>
        <w:t>The debate concerning the optimal working hours for modern employees is highly relevant in today's professional landscape. In my opinion, I strongly agree with agreeing with the statement. This essay will provide two reasons supporting my idea.</w:t>
        <w:br/>
        <w:br/>
        <w:t>Reducing the number of hours spent working can significantly enhance an individual's overall mental well-being. In other words, excessive working hours often lead to chronic stress and burnout among staff members. For instance, studies involving tech workers have shown that a reduced schedule allows for better work-life balance. As a result, employees report higher levels of job satisfaction and reduced rates of exhaustion. Hence, it becomes evident that shorter work weeks contribute positively to mental health.</w:t>
        <w:br/>
        <w:br/>
        <w:t>Furthermore, fewer working hours can stimulate greater productivity and efficiency within an organization. This is primarily due to the fact that rested employees are more focused and capable of performing complex tasks. This can be exemplified by the fact that companies implementing compressed workweeks often see improved output quality. The outcome is that staff members utilize their time more judiciously, minimizing wasted effort. This clearly aligns with the view that reduced hours boost professional output.</w:t>
        <w:br/>
        <w:br/>
        <w:t>In conclusion, I strongly agree that reducing working hours is beneficial. Shorter work weeks improve mental well-being, and the resulting focus boosts professional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