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#165 (c1)</w:t>
      </w:r>
    </w:p>
    <w:p>
      <w:r>
        <w:t xml:space="preserve">Prompt: </w:t>
      </w:r>
    </w:p>
    <w:p>
      <w:r>
        <w:t>--------------------</w:t>
      </w:r>
    </w:p>
    <w:p>
      <w:r>
        <w:t>Some people argue that educational institutions should prioritize preparing students for higher academic study rather than focusing on immediate job skills. In my opinion, I strongly agree with agreeing with the statement. This essay will provide two reasons supporting my idea.</w:t>
        <w:br/>
        <w:br/>
        <w:t>Academic study equips students with foundational knowledge and critical thinking abilities. In other words, university environments cultivate intellectual curiosity and deep subject mastery. For instance, a student studying literature learns to analyze complex texts and interpret nuanced meanings. As a result, they develop sophisticated communication skills applicable across various professional fields. Hence, it becomes evident that academic preparation provides a robust intellectual foundation for future endeavors.</w:t>
        <w:br/>
        <w:br/>
        <w:t>Furthermore, university education fosters crucial transferable skills necessary for long-term career growth. This is primarily due to the fact that the academic process requires independent research and rigorous problem-solving. This can be exemplified by the fact that completing a dissertation demands sustained effort and methodical investigation. The outcome is that graduates possess the capacity to adapt to evolving job market demands and take on leadership roles. This clearly aligns with the view that academic rigor is paramount for professional success.</w:t>
        <w:br/>
        <w:br/>
        <w:t>In conclusion, I strongly agree with agreeing with the statement. This is because academic study provides a robust intellectual foundation, while university education also cultivates crucial transferable skills necessary for professional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