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#165 (c1)</w:t>
      </w:r>
    </w:p>
    <w:p>
      <w:r>
        <w:t xml:space="preserve">Prompt: </w:t>
      </w:r>
    </w:p>
    <w:p>
      <w:r>
        <w:t>--------------------</w:t>
      </w:r>
    </w:p>
    <w:p>
      <w:r>
        <w:t>The debate concerning whether educational institutions should prioritize preparing students for higher education or for immediate employment remains highly relevant. In my opinion, I strongly disagree with disagree. This essay will provide two reasons supporting my idea.</w:t>
        <w:br/>
        <w:br/>
        <w:t>Schools should focus on equipping students with practical, job-ready skills. In other words, the curriculum must integrate vocational training alongside theoretical knowledge in everyday life. For instance, incorporating modules on financial literacy or basic coding would be highly beneficial. As a result, graduates would enter the workforce with tangible competencies, reducing the initial skill gap. Hence, it becomes evident that a focus on employability is more crucial for students.</w:t>
        <w:br/>
        <w:br/>
        <w:t>Furthermore, the educational system must emphasize market relevance to ensure student success. This is primarily due to the fact that employers require specific, immediately applicable skills, not just academic theory in everyday life. This can be exemplified by the fact that many industries now demand proficiency in data analysis software. The outcome is that students who receive this practical training are much more attractive candidates to potential employers. This clearly aligns with the view that preparing students for work is paramount.</w:t>
        <w:br/>
        <w:br/>
        <w:t>In conclusion, I strongly disagree with disagree. This is clear from schools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