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(b2)</w:t>
      </w:r>
    </w:p>
    <w:p>
      <w:r>
        <w:t xml:space="preserve">Prompt: </w:t>
      </w:r>
    </w:p>
    <w:p>
      <w:r>
        <w:t>--------------------</w:t>
      </w:r>
    </w:p>
    <w:p>
      <w:r>
        <w:t>Unemployment among young people is a serious problem, and shortening the working week is one suggested solution. In my opinion, I strongly disagree with supporting the second option. This essay will provide two reasons supporting my idea.</w:t>
        <w:br/>
        <w:br/>
        <w:t>Reducing the work time for young people can help improve their job prospects. In other words, having more free time allows them to focus on job searching and skill building. For instance, a student using the extra time to take a course or volunteer, which looks good on a CV. As a result, they become more skilled and attractive to employers. Hence, it becomes evident that This policy helps young people find job.</w:t>
        <w:br/>
        <w:br/>
        <w:t>Applying reduced hours to the whole workforce has other issues. This is primarily due to the fact that some industries need people working many hours to keep things running. This can be exemplified by the fact that hospitals and factories needing constant staff coverage. The outcome is that businesses might have to hire many more people, which is not always possible. This clearly aligns with the view that the policy must be careful about different types of jobs.</w:t>
        <w:br/>
        <w:br/>
        <w:t>In conclusion, I strongly disagree with supporting the second option. This is because reducing work time can enhance young people's job prospects through skill development, while applying it broadly may disrupt essential services in certain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