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#169 (b2)</w:t>
      </w:r>
    </w:p>
    <w:p>
      <w:r>
        <w:t xml:space="preserve">Prompt: </w:t>
      </w:r>
    </w:p>
    <w:p>
      <w:r>
        <w:t>--------------------</w:t>
      </w:r>
    </w:p>
    <w:p>
      <w:r>
        <w:t>It is becoming more common for women to manage both raising a family and maintaining a professional career. In my opinion, I strongly agree with identifying problems and proposing solutions. This essay will provide two reasons supporting my idea.</w:t>
        <w:br/>
        <w:br/>
        <w:t>The major reason is that the main cause is the unequal sharing of household responsibilities. In other words, women often take on the majority of caregiving tasks at home. For instance, a mother might spend many hours on childcare and housework, even if both parents work. As a result, her professional time and energy are often reduced. Hence, it becomes evident that this imbalance makes balancing work and family life very difficult.</w:t>
        <w:br/>
        <w:br/>
        <w:t>One effective solution is for the government to improve childcare solutions and support for parents. This is primarily due to the fact that affordable and accessible care is needed for working mothers. This can be exemplified by the fact that local authorities could build more community centers with affordable care. The outcome is that parents, especially mothers, can feel more secure in their jobs. This clearly aligns with the view that better support systems help women stay in their careers.</w:t>
        <w:br/>
        <w:br/>
        <w:t>In conclusion, I strongly agree with identifying problems and proposing solutions. This is because the unequal sharing of household responsibilities negatively impacts women's professional lives, and government intervention to improve childcare support is a necessary remedy.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