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#170 (c1)</w:t>
      </w:r>
    </w:p>
    <w:p>
      <w:r>
        <w:t xml:space="preserve">Prompt: </w:t>
      </w:r>
    </w:p>
    <w:p>
      <w:r>
        <w:t>--------------------</w:t>
      </w:r>
    </w:p>
    <w:p>
      <w:r>
        <w:t>The debate surrounding whether learning a foreign language should be a mandatory subject in educational institutions is quite prevalent. In my opinion, I strongly disagree with supporting the second option. This essay will provide two reasons supporting my idea.</w:t>
        <w:br/>
        <w:br/>
        <w:t>Mandating language study can actually hinder genuine interest in the subject. In other words, forcing students to learn a language before they are genuinely motivated can create a negative association with the material. For instance, a student who has no personal interest in French might view the curriculum as an unnecessary burden. As a result, their engagement levels drop, and they approach the subject with resistance rather than curiosity. Hence, it becomes evident that compulsory learning often diminishes the intrinsic motivation required for successful language acquisition.</w:t>
        <w:br/>
        <w:br/>
        <w:t>Furthermore, educational curricula should prioritize core academic subjects over mandatory language study. This is primarily due to the fact that students require sufficient time to develop foundational knowledge in areas like mathematics and science. This can be exemplified by the fact that adding a mandatory language course might overload an already demanding timetable. The outcome is that students are forced to sacrifice adequate study time for crucial subjects, potentially affecting their overall academic performance. This clearly aligns with the view that educational focus should remain on core academic disciplines.</w:t>
        <w:br/>
        <w:br/>
        <w:t>In conclusion, I strongly disagree with the notion of compulsory language learning. While language study offers benefits, focusing on core academic disciplines and allowing voluntary participation is more beneficial for students' overall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