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#171 (c1)</w:t>
      </w:r>
    </w:p>
    <w:p>
      <w:r>
        <w:t xml:space="preserve">Prompt: </w:t>
      </w:r>
    </w:p>
    <w:p>
      <w:r>
        <w:t>--------------------</w:t>
      </w:r>
    </w:p>
    <w:p>
      <w:r>
        <w:t>Many nations allocate substantial financial resources toward restoring historical structures instead of constructing contemporary residences. In my opinion, I strongly positive with the advantages outweigh the disadvantages. This essay will provide two reasons supporting my idea.</w:t>
        <w:br/>
        <w:br/>
        <w:t>On the one hand, preserving old buildings maintains a community's sense of identity and historical continuity. In other words, these structures serve as tangible links to a civilization's past. For instance, the preserved Roman Colosseum in Rome attracts millions of tourists annually. As a result, the local economy benefits significantly from the steady influx of visitors and related services. Hence, it becomes evident that heritage preservation supports economic viability.</w:t>
        <w:br/>
        <w:br/>
        <w:t>On the other hand, focusing on restoration can present a significant disadvantage regarding modern living standards. This is primarily due to the fact that historic buildings often lack necessary modern amenities, such as adequate wiring or accessibility features. This can be exemplified by the fact that many older residential areas struggle to accommodate modern heating or plumbing systems. The outcome is that residents face considerable inconvenience and must incur high costs for necessary retrofitting. This clearly aligns with the view that development priorities should favor practical homes.</w:t>
        <w:br/>
        <w:br/>
        <w:t>In conclusion, I strongly positive with the advantages outweigh the disadvantages. This is because heritage preservation sustains a community's identity and bolsters the local economy, while development priorities must also address the challenges of integrating modern amenities into older structures.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