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#171 (c1)</w:t>
      </w:r>
    </w:p>
    <w:p>
      <w:r>
        <w:t xml:space="preserve">Prompt: </w:t>
      </w:r>
    </w:p>
    <w:p>
      <w:r>
        <w:t>--------------------</w:t>
      </w:r>
    </w:p>
    <w:p>
      <w:r>
        <w:t>Many nations allocate substantial financial resources toward restoring historic structures instead of constructing contemporary residences. In my opinion, I strongly negative with the disadvantages outweigh the advantages. This essay will provide two reasons supporting my idea.</w:t>
        <w:br/>
        <w:br/>
        <w:t>On the one hand, preserving old buildings maintains a unique sense of community identity. In other words, these structures embody the collective memory and architectural history of a region. For instance, the preserved colonial district in Singapore showcases the area's past trade routes and cultural influences. As a result, residents feel a stronger connection to their roots, which boosts local morale. Hence, it becomes evident that heritage preservation supports community well-being.</w:t>
        <w:br/>
        <w:br/>
        <w:t>On the other hand, prioritizing restoration over new construction presents significant economic drawbacks. This is primarily due to the fact that maintaining aged materials is often more costly than building new. This can be exemplified by the fact that structural repairs to old stone buildings require specialized, expensive labor. The outcome is that these funds could otherwise be used to build affordable, modern housing for growing populations. This clearly aligns with the view that modern development is a greater priority.</w:t>
        <w:br/>
        <w:br/>
        <w:t>In conclusion, I strongly negative with the disadvantages outweigh the advantages. This is because preserving old buildings fosters a sense of community identity, while prioritizing restoration over new construction incurs substantial economic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