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#173 (b2)</w:t>
      </w:r>
    </w:p>
    <w:p>
      <w:r>
        <w:t xml:space="preserve">Prompt: </w:t>
      </w:r>
    </w:p>
    <w:p>
      <w:r>
        <w:t>--------------------</w:t>
      </w:r>
    </w:p>
    <w:p>
      <w:r>
        <w:t>Some people believe that growing up in the modern era presents more difficulties for children than in previous times. In my opinion, I strongly disagree with disagreeing with the statement. This essay will provide two reasons supporting my idea.</w:t>
        <w:br/>
        <w:br/>
        <w:t>Children today face different types of challenges compared to those of the past. In other words, One clear advantage is that modern life offers many opportunities for learning and growth. For instance, access to information is much easier now than it used to be. As a result, a student who can learn about history from many sources online. Hence, it becomes evident that modern tools help children learn more effectively.</w:t>
        <w:br/>
        <w:br/>
        <w:t>Another reason is that family support systems are strong for young people. This is primarily due to the fact that This is mainly because many families still spend quality time with their children. This can be exemplified by the fact that parents who often help with homework and activities. The outcome is that children feel secure and receive emotional care. This clearly aligns with the view that This clearly shows that family bonds are important for well-being.</w:t>
        <w:br/>
        <w:br/>
        <w:t>In conclusion, I strongly disagree with the statement that modern life is harder for children. Modern tools help children learn more effectively, and family bonds are important for well-being, making childhood a positive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