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#174 (c1)</w:t>
      </w:r>
    </w:p>
    <w:p>
      <w:r>
        <w:t xml:space="preserve">Prompt: </w:t>
      </w:r>
    </w:p>
    <w:p>
      <w:r>
        <w:t>--------------------</w:t>
      </w:r>
    </w:p>
    <w:p>
      <w:r>
        <w:t>The discussion regarding establishing a maximum wage for high-paying professions is a matter of considerable public debate. In my opinion, I strongly agree with agreeing with the statement. This essay will provide two reasons supporting my idea.</w:t>
        <w:br/>
        <w:br/>
        <w:t>Implementing a wage cap promotes greater economic equality among the workforce. In other words, such a measure aims to narrow the significant gap between the highest and lowest earners. For instance, a cap could limit the excessive salaries paid to top executives, thereby redirecting resources. As a result, the overall income disparity across different social classes would likely diminish. Hence, it becomes evident that wage controls are a mechanism for achieving greater social justice.</w:t>
        <w:br/>
        <w:br/>
        <w:t>Such a policy is primarily due to the fact that excessive income concentration undermines social stability. This is primarily due to the fact that vast amounts of wealth accumulate at the very top, creating a detached elite. This can be exemplified by the fact that a few individuals control disproportionate amounts of capital, which is detrimental to the general population. The outcome is that the middle class struggles to afford basic necessities, leading to widespread discontent. This clearly aligns with the view that wage regulation is necessary for maintaining a balanced society.</w:t>
        <w:br/>
        <w:br/>
        <w:t>In conclusion, I strongly agree with agreeing with the statement. This is because wage caps promote greater economic equality by narrowing the gap between high and low earners, and they are necessary for maintaining social stability by preventing excessive income concentration.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