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#176 (a2_b1)</w:t>
      </w:r>
    </w:p>
    <w:p>
      <w:r>
        <w:t xml:space="preserve">Prompt: </w:t>
      </w:r>
    </w:p>
    <w:p>
      <w:r>
        <w:t>--------------------</w:t>
      </w:r>
    </w:p>
    <w:p>
      <w:r>
        <w:t>The ability to read and write is not enough in the modern world. In my opinion, I strongly agree with agreeing with the statement. This essay will provide two reasons supporting my idea.</w:t>
        <w:br/>
        <w:br/>
        <w:t>The illiterates of the twenty-first century are those who cannot learn new things. In other words, people must be able to change their knowledge when times change in daily life for many people. For example, a factory worker must learn to use a new machine in daily life for many people. As a result, the worker can keep their job and earn money in daily life. This shows that learning new skills is very important for people.</w:t>
        <w:br/>
        <w:br/>
        <w:t>Another reason is that people must be able to unlearn old ideas. This is because old knowledge can stop people from seeing new ways in daily life for many people. For example, a farmer might stop using old methods when better tools come out in daily life. As a result, the farmer can grow more food and help the community in daily life. This supports the view that changing our mind is key to progress.</w:t>
        <w:br/>
        <w:br/>
        <w:t>In conclusion, I strongly agree with agreeing with the statement. This is because learning new skills helps people keep their jobs, and unlearning old ideas allows people to make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