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#176 (a2_b1)</w:t>
      </w:r>
    </w:p>
    <w:p>
      <w:r>
        <w:t xml:space="preserve">Prompt: </w:t>
      </w:r>
    </w:p>
    <w:p>
      <w:r>
        <w:t>--------------------</w:t>
      </w:r>
    </w:p>
    <w:p>
      <w:r>
        <w:t>The idea of illiteracy has changed in the modern world. In my opinion, I strongly disagree with disagree. This essay will provide two reasons supporting my idea.</w:t>
        <w:br/>
        <w:br/>
        <w:t>A person who cannot read and write is not the only type of illiterate person today. In other words, a person can be unable to keep up with changes in life in daily life in daily life today. For example, a worker might not know how to use a new computer program in daily life in daily life today today. As a result, this person will have difficulty doing their job well in daily life. This shows that knowing new skills is very important for people.</w:t>
        <w:br/>
        <w:br/>
        <w:t>Another reason is that people must learn new things to live well. This is because the world changes very fast now in daily life in daily life in daily life in daily life today. For example, people need to learn about new health rules in daily life in daily life. As a result, they must change their daily habits to stay safe. This supports the view that keeping knowledge current is necessary for life.</w:t>
        <w:br/>
        <w:br/>
        <w:t>In conclusion, I strongly disagree with disagree. This is clear from read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