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#176 (c1)</w:t>
      </w:r>
    </w:p>
    <w:p>
      <w:r>
        <w:t xml:space="preserve">Prompt: </w:t>
      </w:r>
    </w:p>
    <w:p>
      <w:r>
        <w:t>--------------------</w:t>
      </w:r>
    </w:p>
    <w:p>
      <w:r>
        <w:t>The definition of illiteracy in the modern era has expanded beyond the inability to read and write. In my opinion, I strongly agree with agreeing with the statement. This essay will provide two reasons supporting my idea.</w:t>
        <w:br/>
        <w:br/>
        <w:t>The capacity to continuously acquire and modify knowledge is paramount for success in contemporary society. In other words, true illiteracy pertains to a lack of adaptability in the face of rapid technological and social change. For instance, a worker who cannot transition from manual tasks to digital management skills faces significant career difficulties. As a result, their existing expertise becomes insufficient for the demands of the evolving job market. Hence, it becomes evident that continuous learning is a fundamental requirement for professional survival.</w:t>
        <w:br/>
        <w:br/>
        <w:t>Furthermore, the ability to unlearn outdated assumptions is equally crucial for personal and professional growth. This is primarily due to the fact that people often cling to familiar methods, even when superior alternatives exist. This can be exemplified by the fact that older educational paradigms struggle to incorporate the latest scientific findings. The outcome is that individuals remain resistant to new information, hindering their potential for advancement. This clearly aligns with the view that intellectual flexibility is a core measure of modern literacy.</w:t>
        <w:br/>
        <w:br/>
        <w:t>In conclusion, I strongly agree with agreeing with the statement. This is because continuous learning is fundamental for professional survival in the evolving job market, and intellectual flexibility is crucial for overcoming outdated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