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#176 (c1)</w:t>
      </w:r>
    </w:p>
    <w:p>
      <w:r>
        <w:t xml:space="preserve">Prompt: </w:t>
      </w:r>
    </w:p>
    <w:p>
      <w:r>
        <w:t>--------------------</w:t>
      </w:r>
    </w:p>
    <w:p>
      <w:r>
        <w:t>The definition of illiteracy in the modern era is often misunderstood, suggesting it relates only to the inability to read and write. In my opinion, I strongly disagree with disagree. This essay will provide two reasons supporting my idea.</w:t>
        <w:br/>
        <w:br/>
        <w:t>A primary measure of illiteracy today should not be based on basic reading skills. In other words, it pertains to a lack of adaptability in the face of rapid technological change. For instance, an individual who cannot utilize new software platforms remains functionally illiterate in the workplace. As a result, their inability to integrate new digital skills limits their professional opportunities significantly. Hence, it becomes evident that true illiteracy involves a deficit in continuous learning capabilities.</w:t>
        <w:br/>
        <w:br/>
        <w:t>Another critical indicator of modern illiteracy is the inability to process and synthesize diverse information streams. This is primarily due to the fact that contemporary society demands constant engagement with complex, varied data sets. This can be exemplified by the fact that citizens must navigate conflicting news sources and specialized technical reports daily. The outcome is that those who cannot critically evaluate sources struggle to make informed personal or civic decisions. This clearly aligns with the view that modern illiteracy is fundamentally a failure of critical thinking and information processing.</w:t>
        <w:br/>
        <w:br/>
        <w:t>In conclusion, I strongly disagree with disagree. This is clear from primary and another.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