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#178 (c1)</w:t>
      </w:r>
    </w:p>
    <w:p>
      <w:r>
        <w:t xml:space="preserve">Prompt: </w:t>
      </w:r>
    </w:p>
    <w:p>
      <w:r>
        <w:t>--------------------</w:t>
      </w:r>
    </w:p>
    <w:p>
      <w:r>
        <w:t>Modern technologies, such as mobile phones, email, and social networking platforms, have fundamentally altered how people interact globally. In my opinion, I strongly positive with the advantages outweigh the disadvantages. This essay will provide two reasons supporting my idea.</w:t>
        <w:br/>
        <w:br/>
        <w:t>On the one hand, these digital tools have significantly enhanced global communication and connectivity. In other words, people can maintain relationships and share information across vast geographical distances instantly. For instance, a student can collaborate on a project with a classmate located on a different continent using video calls. As a result, the barriers of distance are effectively removed, allowing for continuous academic and personal exchange. Hence, it becomes evident that these technologies foster unprecedented levels of global connection.</w:t>
        <w:br/>
        <w:br/>
        <w:t>On the other hand, the reliance on these platforms presents several significant drawbacks, particularly concerning mental well-being. This is primarily due to the fact that constant connectivity can lead to feelings of inadequacy and social comparison. This can be exemplified by the fact that individuals may spend excessive time viewing curated, idealized versions of others' lives online. The outcome is that users might experience increased anxiety or feelings of social isolation despite being constantly connected. This clearly aligns with the view that excessive use poses a genuine risk to psychological health.</w:t>
        <w:br/>
        <w:br/>
        <w:t>In conclusion, I strongly agree that the advantages of these technologies outweigh the disadvantages. While the enhanced global communication and connectivity are undeniable benefits, the potential drawbacks regarding mental well-being must be managed responsibly.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