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#179 (b2)</w:t>
      </w:r>
    </w:p>
    <w:p>
      <w:r>
        <w:t xml:space="preserve">Prompt: </w:t>
      </w:r>
    </w:p>
    <w:p>
      <w:r>
        <w:t>--------------------</w:t>
      </w:r>
    </w:p>
    <w:p>
      <w:r>
        <w:t>The arrival of the internet has greatly changed how people access information and learn new things. In my opinion, I strongly agree with agreeing with the statement. This essay will provide two reasons supporting my idea.</w:t>
        <w:br/>
        <w:br/>
        <w:t>The internet changes the role of the teacher by making information more available to students. In other words, teachers no longer need to be the sole source of knowledge. For instance, students can read articles and watch videos about any topic at home. As a result, teachers must spend more time guiding students through the vast amount of information. Hence, it becomes evident that the teacher must become a guide or facilitator of learning.</w:t>
        <w:br/>
        <w:br/>
        <w:t>The internet changes the role of the teacher by requiring new communication skills. This is primarily due to the fact that students now talk to people globally through digital tools. This can be exemplified by the fact that a student can join an online class with peers from different countries. The outcome is that teachers must teach students how to communicate in a digital world. This clearly aligns with the view that the teacher needs to focus on digital literacy and communication.</w:t>
        <w:br/>
        <w:br/>
        <w:t>In conclusion, I strongly agree that the internet changes the role of the teacher. The teacher must become a guide of learning, and they must also focus on digital literacy and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