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#182 (c1)</w:t>
      </w:r>
    </w:p>
    <w:p>
      <w:r>
        <w:t xml:space="preserve">Prompt: </w:t>
      </w:r>
    </w:p>
    <w:p>
      <w:r>
        <w:t>--------------------</w:t>
      </w:r>
    </w:p>
    <w:p>
      <w:r>
        <w:t>The discussion surrounding air travel often involves contrasting viewpoints regarding its overall effect on the environment. In my opinion, I strongly positive with the advantages outweigh the disadvantages. This essay will provide two reasons supporting my idea.</w:t>
        <w:br/>
        <w:br/>
        <w:t>On the one hand, air planes provide unparalleled connectivity, which is a significant advantage for global commerce. In other words, air travel facilitates the rapid movement of goods and people across vast distances. For instance, international trade relies heavily on air cargo to transport perishable items and high-value components. As a result, global economies can function efficiently, supporting countless industries and livelihoods. Hence, it becomes evident that air planes are vital engines for maintaining the current global economic structure.</w:t>
        <w:br/>
        <w:br/>
        <w:t>On the other hand, air planes present a considerable environmental disadvantage due to their carbon emissions. This is primarily due to the fact that burning fossil fuels releases substantial amounts of greenhouse gases into the atmosphere. This can be exemplified by the fact that a single flight contributes measurable amounts of carbon pollution, exacerbating global warming. The outcome is that the cumulative impact of millions of flights significantly contributes to atmospheric warming and pollution. This clearly aligns with the view that air travel poses a serious threat to environmental sustainability.</w:t>
        <w:br/>
        <w:br/>
        <w:t>In conclusion, I strongly agree that the advantages of air planes outweigh the disadvantages. While air planes are vital engines for global commerce, the considerable environmental disadvantage caused by carbon emissions requires immediate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