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#182 (c1)</w:t>
      </w:r>
    </w:p>
    <w:p>
      <w:r>
        <w:t xml:space="preserve">Prompt: </w:t>
      </w:r>
    </w:p>
    <w:p>
      <w:r>
        <w:t>--------------------</w:t>
      </w:r>
    </w:p>
    <w:p>
      <w:r>
        <w:t>The environmental consequences of air travel are frequently debated, with some arguing that the negative effects outweigh the positive ones. In my opinion, I strongly negative with the disadvantages outweigh the advantages. This essay will provide two reasons supporting my idea.</w:t>
        <w:br/>
        <w:br/>
        <w:t>On the one hand, air travel provides significant economic benefits to global commerce. In other words, it facilitates the rapid movement of goods and people across vast distances. For instance, international trade relies heavily on cargo planes transporting raw materials and finished products. As a result, businesses can maintain complex supply chains, which boosts global economic activity. Hence, it becomes evident that air travel is a vital component of modern global sustainability.</w:t>
        <w:br/>
        <w:br/>
        <w:t>On the other hand, air travel presents considerable environmental drawbacks. This is primarily due to the fact that aircraft emissions contribute significantly to atmospheric pollution. This can be exemplified by the fact that burning jet fuel releases substantial amounts of carbon dioxide and nitrogen oxides. The outcome is that these pollutants exacerbate climate change and damage sensitive ecosystems. This clearly aligns with the view that air travel poses a serious negative impact on the environment.</w:t>
        <w:br/>
        <w:br/>
        <w:t>In conclusion, I strongly agree that the negative impacts of air travel are more pronounced than the positive ones. While air travel is vital for global commerce, the resulting emissions and environmental drawbacks necessitate urgent mitigation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