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#183 (c1)</w:t>
      </w:r>
    </w:p>
    <w:p>
      <w:r>
        <w:t xml:space="preserve">Prompt: </w:t>
      </w:r>
    </w:p>
    <w:p>
      <w:r>
        <w:t>--------------------</w:t>
      </w:r>
    </w:p>
    <w:p>
      <w:r>
        <w:t>The choice between residing in a bustling city or a tranquil rural area presents a significant lifestyle consideration. In my opinion, I strongly agree with agree. This essay will provide two reasons supporting my idea.</w:t>
        <w:br/>
        <w:br/>
        <w:t>Living in a city offers unparalleled access to diverse amenities and cultural experiences. In other words, urban centers provide a wealth of opportunities for professional growth and leisure. For instance, a person can find specialized medical facilities and diverse educational institutions within a short commute. As a result, the daily routine is filled with convenience, allowing residents to pursue varied interests. Hence, it becomes evident that the vibrant infrastructure of a city greatly enhances the quality of life.</w:t>
        <w:br/>
        <w:br/>
        <w:t>Conversely, residing in the countryside offers a profound sense of peace and natural beauty. This is primarily due to the fact that rural settings provide a slower, more restorative pace of life. This can be exemplified by the fact that residents have immediate access to extensive green spaces and wildlife. The outcome is that the air quality improves, and the community atmosphere becomes more intimate. This clearly aligns with the view that the natural environment is crucial for mental well-being.</w:t>
        <w:br/>
        <w:br/>
        <w:t>In conclusion, I strongly agree with agree. This is clear from living and conversely.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