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#184 (b2)</w:t>
      </w:r>
    </w:p>
    <w:p>
      <w:r>
        <w:t xml:space="preserve">Prompt: </w:t>
      </w:r>
    </w:p>
    <w:p>
      <w:r>
        <w:t>--------------------</w:t>
      </w:r>
    </w:p>
    <w:p>
      <w:r>
        <w:t>The increasing power of artificial intelligence, especially in computer translation, suggests that learning foreign languages is no longer necessary. In my opinion, I strongly agree with agree. This essay will provide two reasons supporting my idea.</w:t>
        <w:br/>
        <w:br/>
        <w:t>One clear advantage is that technology makes basic communication easier for people. In other words, translation tools allow users to quickly understand simple phrases in a foreign language. For instance, a tourist in a new country can use an app to translate a menu item at a restaurant. As a result, they can still order food and interact with people without speaking the local language. Hence, it becomes evident that technology helps people manage simple daily conversations.</w:t>
        <w:br/>
        <w:br/>
        <w:t>Another reason is that translation tools provide immediate access to information. This is primarily due to the fact that people can get quick translations of written text or signs. This can be exemplified by the fact that a student reading a textbook can instantly translate difficult words. The outcome is that they can still grasp the main ideas of the text, even if they do not know the grammar. This clearly aligns with the view that technology supports learning through quick access to information.</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