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#184 (c1)</w:t>
      </w:r>
    </w:p>
    <w:p>
      <w:r>
        <w:t xml:space="preserve">Prompt: </w:t>
      </w:r>
    </w:p>
    <w:p>
      <w:r>
        <w:t>--------------------</w:t>
      </w:r>
    </w:p>
    <w:p>
      <w:r>
        <w:t>The increasing sophistication of artificial intelligence and computer translation tools suggests that acquiring foreign languages may become unnecessary. In my opinion, I strongly disagree with disagreeing with the statement. This essay will provide two reasons supporting my idea.</w:t>
        <w:br/>
        <w:br/>
        <w:t>The primary function of language is to facilitate deep cultural exchange, which requires more than mere translation. In other words, language is intrinsically linked to a culture's history and identity. For instance, understanding local idioms or historical references requires immersion, not just literal word-for-word translation. As a result, relying solely on technology diminishes the nuanced understanding gained through direct human interaction. Hence, it becomes evident that human interaction remains crucial for genuine cultural understanding.</w:t>
        <w:br/>
        <w:br/>
        <w:t>Furthermore, true linguistic proficiency develops through active human practice and emotional connection. This is primarily due to the fact that speaking a language involves mastering intonation and contextual understanding. This can be exemplified by the fact that a machine cannot replicate the subtle emotional tone used during a heartfelt conversation. The outcome is that learners miss out on the critical skill development that comes from daily conversation with native speakers. This clearly aligns with the view that human practice is indispensable for achieving fluency.</w:t>
        <w:br/>
        <w:br/>
        <w:t>In conclusion, I strongly disagree with disagreeing with the statement. This is because genuine cultural understanding necessitates deep human interaction, and true linguistic proficiency is cultivated through active human practice and emotional connection.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