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#186 (c1)</w:t>
      </w:r>
    </w:p>
    <w:p>
      <w:r>
        <w:t xml:space="preserve">Prompt: </w:t>
      </w:r>
    </w:p>
    <w:p>
      <w:r>
        <w:t>--------------------</w:t>
      </w:r>
    </w:p>
    <w:p>
      <w:r>
        <w:t>The integration of robotic technology into educational settings is a subject of considerable contemporary discussion. In my opinion, I strongly positive with the advantages outweigh the disadvantages. This essay will provide two reasons supporting my idea.</w:t>
        <w:br/>
        <w:br/>
        <w:t>On the one hand, robots offer significant advantages in providing personalized learning experiences. In other words, these machines can adapt their instructional pace to match individual student needs. For instance, a robot tutor can identify a student's specific difficulty with algebra and provide targeted practice. As a result, the student receives immediate, customized feedback, which accelerates comprehension. Hence, it becomes evident that robots enhance the efficiency of academic instruction.</w:t>
        <w:br/>
        <w:br/>
        <w:t>On the other hand, the potential disadvantage of relying on robots is the erosion of crucial human interaction. This is primarily due to the fact that learning is inherently a social and emotional process. This can be exemplified by the fact that students miss the spontaneous discussions and nuanced emotional support provided by human teachers. The outcome is that students may struggle with developing essential interpersonal skills, such as empathy. This clearly aligns with the view that human mentorship remains irreplaceable in education.</w:t>
        <w:br/>
        <w:br/>
        <w:t>In conclusion, I strongly positive with the advantages outweigh the disadvantages. This is because robots enhance the efficiency of academic instruction through personalized learning, while human mentorship remains irreplaceable for developing essential interpersonal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