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#186 (c1)</w:t>
      </w:r>
    </w:p>
    <w:p>
      <w:r>
        <w:t xml:space="preserve">Prompt: </w:t>
      </w:r>
    </w:p>
    <w:p>
      <w:r>
        <w:t>--------------------</w:t>
      </w:r>
    </w:p>
    <w:p>
      <w:r>
        <w:t>The integration of robotic technology into educational settings is a topic of considerable contemporary discussion. In my opinion, I strongly negative with the disadvantages outweigh the advantages. This essay will provide two reasons supporting my idea.</w:t>
        <w:br/>
        <w:br/>
        <w:t>On the one hand, robots offer significant potential for personalized learning experiences. In other words, these machines can adapt their instructional pace to suit individual student needs. For instance, a robot tutor can identify a student's weak areas in mathematics and provide targeted practice. As a result, students receive immediate, customized feedback, which accelerates comprehension. Hence, it becomes evident that robots can enhance the efficiency of the learning process.</w:t>
        <w:br/>
        <w:br/>
        <w:t>On the other hand, the use of robots presents several pedagogical drawbacks. This is primarily due to the fact that human interaction is crucial for holistic development. This can be exemplified by the fact that robots cannot replicate the emotional support provided by a human teacher. The outcome is that students might miss out on developing essential social skills, such as empathy. This clearly aligns with the view that relying on machines diminishes the quality of human mentorship.</w:t>
        <w:br/>
        <w:br/>
        <w:t>In conclusion, I strongly negative with the disadvantages outweigh the advantages. This is because while robots offer personalized learning experiences, they simultaneously diminish the crucial development of essential social skills and emotional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