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#187 (c1)</w:t>
      </w:r>
    </w:p>
    <w:p>
      <w:r>
        <w:t xml:space="preserve">Prompt: </w:t>
      </w:r>
    </w:p>
    <w:p>
      <w:r>
        <w:t>--------------------</w:t>
      </w:r>
    </w:p>
    <w:p>
      <w:r>
        <w:t>The quality of people's health is significantly influenced by their daily routines and habits. In my opinion, I strongly agree with agreeing with the statement. This essay will provide two reasons supporting my idea.</w:t>
        <w:br/>
        <w:br/>
        <w:t>Poor lifestyle choices are major contributors to declining public health. In other words, inadequate physical activity and poor dietary habits significantly compromise bodily functions. For instance, a highly sedentary routine, such as working at a desk all day, increases the risk of weight gain. As a result, individuals may develop metabolic syndrome, which affects cardiovascular health. Hence, it becomes evident that physical activity levels are crucial for maintaining optimal wellness.</w:t>
        <w:br/>
        <w:br/>
        <w:t>National health services must implement proactive measures to address these lifestyle-related issues. This is primarily due to the fact that education and community support are necessary to change ingrained habits. This can be exemplified by the fact that public campaigns promoting walking groups successfully encourage participation. The outcome is that communities become more aware of preventative measures and adopt healthier routines. This clearly aligns with the view that governmental intervention is vital for improving public health.</w:t>
        <w:br/>
        <w:br/>
        <w:t>In conclusion, I strongly agree that poor lifestyle choices contribute to poor health, and national health services must implement proactive measures. Addressing physical activity levels and promoting preventative measures are essential steps toward improving public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