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 (c1)</w:t>
      </w:r>
    </w:p>
    <w:p>
      <w:r>
        <w:t xml:space="preserve">Prompt: </w:t>
      </w:r>
    </w:p>
    <w:p>
      <w:r>
        <w:t>--------------------</w:t>
      </w:r>
    </w:p>
    <w:p>
      <w:r>
        <w:t>The notion that extreme ideologies are the sole cause of suffering among ordinary people is a widely debated topic. In my opinion, I strongly disagree with the view that ordinary people suffer because of extreme ideologies. This essay will provide two reasons supporting my idea.</w:t>
        <w:br/>
        <w:br/>
        <w:t>Individuals possess inherent resilience that allows them to navigate periods of political instability. In other words, human beings possess deep psychological mechanisms for coping with adversity. For instance, communities often establish mutual support networks when faced with governmental upheaval. As a result, these localized systems of care mitigate the worst effects of ideological conflict. Hence, it becomes evident that personal fortitude plays a significant role in minimizing suffering.</w:t>
        <w:br/>
        <w:br/>
        <w:t>Furthermore, the capacity for individual agency provides a buffer against the negative impacts of rigid belief systems. This is primarily due to the fact that people can actively resist conformity and maintain personal autonomy. This can be exemplified by the fact that civil disobedience movements successfully challenge oppressive regimes. The outcome is that such collective action can force systemic changes, thereby protecting civil liberties. This clearly aligns with the view that personal action can counteract ideological harm.</w:t>
        <w:br/>
        <w:br/>
        <w:t>In conclusion, I strongly disagree with the view that ordinary people suffer because of extreme ideologies. Instead, individual resilience and the capacity for personal action are crucial factors in mitigating suffering, suggesting a more complex relationship between belief systems and human welfare.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