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#190 (c1)</w:t>
      </w:r>
    </w:p>
    <w:p>
      <w:r>
        <w:t xml:space="preserve">Prompt: </w:t>
      </w:r>
    </w:p>
    <w:p>
      <w:r>
        <w:t>--------------------</w:t>
      </w:r>
    </w:p>
    <w:p>
      <w:r>
        <w:t>While globalization has increased international communication, the notion of English remaining the sole global language is questionable. In my opinion, I strongly disagree with disagreeing with the statement. This essay will provide two reasons supporting my idea.</w:t>
        <w:br/>
        <w:br/>
        <w:t>The rise of regional languages suggests that English's dominance is waning. In other words, local dialects and indigenous tongues are experiencing a resurgence in use. For instance, many communities are reviving ancient languages through educational programs. As a result, the cultural identity associated with these languages is being reinforced among younger generations. Hence, it becomes evident that linguistic diversity poses a significant challenge to English's universal status.</w:t>
        <w:br/>
        <w:br/>
        <w:t>Furthermore, economic shifts are promoting the adoption of diverse local languages. This is primarily due to the fact that regional trade and local governance are increasingly prioritizing native tongues. This can be exemplified by the fact that many developing nations are integrating local languages into their official administrative systems. The outcome is that global economic power is becoming more decentralized, reducing reliance on a single international language. This clearly aligns with the view that linguistic shifts are reshaping global communication patterns.</w:t>
        <w:br/>
        <w:br/>
        <w:t>In conclusion, I strongly disagree with disagreeing with the statement. This is because the resurgence of local dialects reinforces cultural identity, and economic shifts are decentralizing global power by integrating native tongues into administrative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