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#195 (c1)</w:t>
      </w:r>
    </w:p>
    <w:p>
      <w:r>
        <w:t xml:space="preserve">Prompt: </w:t>
      </w:r>
    </w:p>
    <w:p>
      <w:r>
        <w:t>--------------------</w:t>
      </w:r>
    </w:p>
    <w:p>
      <w:r>
        <w:t>The question of whether companies producing consumer goods should prioritize their corporate reputation or focus on short-term sales strategies is a significant debate. In my opinion, I strongly agree with agree. This essay will provide two reasons supporting my idea.</w:t>
        <w:br/>
        <w:br/>
        <w:t>Emphasizing a company's reputation is a crucial element of sustainable market positioning. In other words, a strong reputation builds trust among the consumer base. For instance, a food company known for ethical sourcing maintains customer loyalty even when competitors offer deep discounts. As a result, consumers are willing to pay a premium for products they perceive as high quality and morally sound. Hence, it becomes evident that brand equity is more valuable than temporary sales boosts.</w:t>
        <w:br/>
        <w:br/>
        <w:t>Conversely, focusing on short-term strategies like discounts can generate immediate revenue streams. This is primarily due to the fact that promotions create a sense of urgency among potential buyers. This can be exemplified by the fact that clothing retailers frequently use 'buy one, get one' deals to clear seasonal inventory. The outcome is that sales figures appear robust in the immediate quarter. This clearly aligns with the view that immediate financial gains are necessary for operational survival.</w:t>
        <w:br/>
        <w:br/>
        <w:t>In conclusion, I strongly agree with agree. This is clear from emphasizing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