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#195 (c1)</w:t>
      </w:r>
    </w:p>
    <w:p>
      <w:r>
        <w:t xml:space="preserve">Prompt: </w:t>
      </w:r>
    </w:p>
    <w:p>
      <w:r>
        <w:t>--------------------</w:t>
      </w:r>
    </w:p>
    <w:p>
      <w:r>
        <w:t>The question of whether companies producing consumer goods should prioritize their corporate reputation or focus on short-term sales tactics is a complex one. In my opinion, I strongly disagree with disagree. This essay will provide two reasons supporting my idea.</w:t>
        <w:br/>
        <w:br/>
        <w:t>Emphasizing a company's reputation suggests a focus on building long-term brand equity. In other words, this approach prioritizes trust and perceived value over immediate financial gains. For instance, a clothing brand that consistently uses ethical sourcing practices builds a positive public image. As a result, consumers are more inclined to support the brand even when competitors offer lower prices. Hence, it becomes evident that reputation forms a solid foundation for sustained market positioning.</w:t>
        <w:br/>
        <w:br/>
        <w:t>Focusing on short-term strategies, such as discounts and special offers, aims for immediate revenue streams. This is primarily due to the fact that such deals stimulate quick consumer spending and boost immediate sales figures. This can be exemplified by the fact that electronics retailers frequently advertise deep discounts during seasonal sales. The outcome is that consumers are drawn to the perceived savings, leading to a temporary spike in transactions. This clearly aligns with the view that immediate sales boosts are the primary goal of marketing.</w:t>
        <w:br/>
        <w:br/>
        <w:t>In conclusion, I strongly disagree with disagree. This is clear from emphasizing and focusing.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