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#196 (c1)</w:t>
      </w:r>
    </w:p>
    <w:p>
      <w:r>
        <w:t xml:space="preserve">Prompt: </w:t>
      </w:r>
    </w:p>
    <w:p>
      <w:r>
        <w:t>--------------------</w:t>
      </w:r>
    </w:p>
    <w:p>
      <w:r>
        <w:t>The increasing interconnectedness of nations through global trade and communication has become a subject of considerable debate. In my opinion, I strongly disagree with disagreeing with the statement. This essay will provide two reasons supporting my idea.</w:t>
        <w:br/>
        <w:br/>
        <w:t>Globalization presents significant challenges to the autonomy of smaller nations. In other words, the reliance on international markets can undermine local decision-making processes. For instance, a small island nation might be forced to adopt specific agricultural practices to satisfy the demands of major consumer markets. As a result, its unique cultural traditions and sustainable farming methods may be compromised. Hence, it becomes evident that local economies suffer when they are overly integrated into global supply chains.</w:t>
        <w:br/>
        <w:br/>
        <w:t>Furthermore, globalization exacerbates economic inequality among the world's populations. This is primarily due to the fact that wealth tends to accumulate in the hands of multinational corporations and developed countries. This can be exemplified by the fact that labor in developing regions often receives wages that are insufficient to cover basic living expenses. The outcome is that a widening gap emerges between the affluent and the impoverished, creating social unrest. This clearly aligns with the view that global economic integration disproportionately benefits the wealthy.</w:t>
        <w:br/>
        <w:br/>
        <w:t>In conclusion, I strongly disagree with disagreeing with the statement. This is because global integration compromises the autonomy of smaller nations and exacerbates economic disparities among the world's populations.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