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#199 (c1)</w:t>
      </w:r>
    </w:p>
    <w:p>
      <w:r>
        <w:t xml:space="preserve">Prompt: </w:t>
      </w:r>
    </w:p>
    <w:p>
      <w:r>
        <w:t>--------------------</w:t>
      </w:r>
    </w:p>
    <w:p>
      <w:r>
        <w:t>The methods by which people interact and exchange information have undergone considerable transformation over the past decade. In my opinion, I strongly positive with the advantages outweigh the disadvantages. This essay will provide two reasons supporting my idea.</w:t>
        <w:br/>
        <w:br/>
        <w:t>On the one hand, the advent of digital communication has significantly enhanced global connectivity. In other words, people can maintain relationships across vast geographical distances with unprecedented ease. For instance, instant messaging platforms allow family members separated by continents to share daily moments instantly. As a result, the sense of community and mutual support is strengthened, regardless of physical separation. Hence, it becomes evident that these new methods facilitate stronger interpersonal connections.</w:t>
        <w:br/>
        <w:br/>
        <w:t>On the other hand, the reliance on digital communication presents several drawbacks, particularly concerning the depth of interaction. This is primarily due to the fact that virtual interactions often lack the nuance of face-to-face conversation. This can be exemplified by the fact that complex emotions or subtle body language cues are easily misinterpreted through text. The outcome is that individuals may struggle to develop deep empathy, leading to superficial relationships. This clearly aligns with the view that this reliance diminishes the quality of human connection.</w:t>
        <w:br/>
        <w:br/>
        <w:t>In conclusion, I strongly positive with the advantages outweigh the disadvantages. This is because digital communication significantly enhances global connectivity, while simultaneously presenting challenges regarding the depth of interaction.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