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#199 (c1)</w:t>
      </w:r>
    </w:p>
    <w:p>
      <w:r>
        <w:t xml:space="preserve">Prompt: </w:t>
      </w:r>
    </w:p>
    <w:p>
      <w:r>
        <w:t>--------------------</w:t>
      </w:r>
    </w:p>
    <w:p>
      <w:r>
        <w:t>The methods by which people communicate in modern society have undergone substantial transformations over the last decade. In my opinion, I strongly negative with the disadvantages outweigh the advantages. This essay will provide two reasons supporting my idea.</w:t>
        <w:br/>
        <w:br/>
        <w:t>On the one hand, digital communication has undeniably enhanced the speed and reach of information exchange. In other words, people can now connect with others across vast geographical distances instantaneously. For instance, a student can collaborate on a project with peers located on different continents using video conferencing. As a result, the barriers of distance are significantly diminished, allowing for continuous academic and professional interaction. Hence, it becomes evident that these new methods facilitate unprecedented global connectivity.</w:t>
        <w:br/>
        <w:br/>
        <w:t>On the other hand, the reliance on digital platforms presents several significant drawbacks to genuine human interaction. This is primarily due to the fact that virtual communication often lacks the nuance of face-to-face conversation. This can be exemplified by the fact that complex emotions or subtle body language cues are frequently misinterpreted through text messages. The outcome is that individuals may develop a superficial sense of connection while neglecting the depth of meaningful relationships. This clearly aligns with the view that these changes pose a considerable risk to interpersonal connection.</w:t>
        <w:br/>
        <w:br/>
        <w:t>In conclusion, I strongly negative with the disadvantages outweigh the advantages. This is because digital communication facilitates unprecedented global connectivity, yet it simultaneously poses a considerable risk to genuine interpersonal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