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 (a2_b1)</w:t>
      </w:r>
    </w:p>
    <w:p>
      <w:r>
        <w:t xml:space="preserve">Prompt: </w:t>
      </w:r>
    </w:p>
    <w:p>
      <w:r>
        <w:t>--------------------</w:t>
      </w:r>
    </w:p>
    <w:p>
      <w:r>
        <w:t>Low birth rates and older populations are big issues for many countries today. In my opinion, I strongly agree with the view that lowering birth rates and ageing populations can be addressed through government policies and immigration. This essay will provide two reasons supporting my idea.</w:t>
        <w:br/>
        <w:br/>
        <w:t>The major reason is that people have fewer children now. In other words, many young people choose to have fewer babies in daily life. For example, people live in big cities and focus on their jobs in daily life. As a result, they spend more money on education and housing in daily life. This shows that modern life makes having children difficult.</w:t>
        <w:br/>
        <w:br/>
        <w:t>One effective solution is to use government policies. This is because the government can help families with money and support in daily life. For example, they can give money for new parents or build more schools in daily life. As a result, families feel more secure and can have more children in daily life. This supports the view that policies help people have families.</w:t>
        <w:br/>
        <w:br/>
        <w:t>In conclusion, I strongly agree that addressing low birth rates and ageing populations is possible. Government policies can help people have children, and immigration can help keep the population strong.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