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 (b2)</w:t>
      </w:r>
    </w:p>
    <w:p>
      <w:r>
        <w:t xml:space="preserve">Prompt: </w:t>
      </w:r>
    </w:p>
    <w:p>
      <w:r>
        <w:t>--------------------</w:t>
      </w:r>
    </w:p>
    <w:p>
      <w:r>
        <w:t>The issue of falling birth rates and aging populations presents a major challenge to modern societies worldwide. In my opinion, I strongly agree with the view that lowering birth rates and ageing populations can be addressed through government policies and immigration. This essay will provide two reasons supporting my idea.</w:t>
        <w:br/>
        <w:br/>
        <w:t>The major reason is that declining birth rates put pressure on the working population and social services. In other words, fewer young people mean fewer workers to support the elderly. For instance, countries like Japan have very few people entering the workforce each year. As a result, the tax base shrinks, making it hard to pay for pensions and healthcare. Hence, it becomes evident that government policies must help people have more children.</w:t>
        <w:br/>
        <w:br/>
        <w:t>One effective solution is to use targeted government policies and encourage immigration. This is primarily due to the fact that financial support can help couples plan for a family. This can be exemplified by the fact that offering tax breaks for new parents makes having children more affordable. The outcome is that the population structure becomes more balanced and sustainable. This clearly aligns with the view that policies and immigration can solve this problem.</w:t>
        <w:br/>
        <w:br/>
        <w:t>In conclusion, I strongly agree that addressing low birth rates and aging populations requires action. Government policies can help boost birth rates, and immigration can help support the workforce and social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